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83" w:rsidRPr="00544B83" w:rsidRDefault="00544B83" w:rsidP="00544B83">
      <w:pPr>
        <w:jc w:val="center"/>
        <w:rPr>
          <w:rFonts w:ascii="Calibri" w:eastAsia="Calibri" w:hAnsi="Calibri" w:cs="Times New Roman"/>
          <w:kern w:val="2"/>
          <w:sz w:val="40"/>
          <w:szCs w:val="40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40"/>
          <w:szCs w:val="40"/>
          <w14:ligatures w14:val="standardContextual"/>
        </w:rPr>
        <w:t xml:space="preserve">A </w:t>
      </w:r>
      <w:proofErr w:type="spellStart"/>
      <w:r w:rsidRPr="00544B83">
        <w:rPr>
          <w:rFonts w:ascii="Calibri" w:eastAsia="Calibri" w:hAnsi="Calibri" w:cs="Times New Roman"/>
          <w:kern w:val="2"/>
          <w:sz w:val="40"/>
          <w:szCs w:val="40"/>
          <w14:ligatures w14:val="standardContextual"/>
        </w:rPr>
        <w:t>Perlátor</w:t>
      </w:r>
      <w:proofErr w:type="spellEnd"/>
      <w:r w:rsidRPr="00544B83">
        <w:rPr>
          <w:rFonts w:ascii="Calibri" w:eastAsia="Calibri" w:hAnsi="Calibri" w:cs="Times New Roman"/>
          <w:kern w:val="2"/>
          <w:sz w:val="40"/>
          <w:szCs w:val="40"/>
          <w14:ligatures w14:val="standardContextual"/>
        </w:rPr>
        <w:t xml:space="preserve"> Program Részvételi Szabályzata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A Programban való részvétel feltétele, hogy a résztvevő megismerje és elfogadja a 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Perlátor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Program Részvételi Szabályzatát, amelyet ebben a dokumentumban olvashat el.</w:t>
      </w:r>
    </w:p>
    <w:p w:rsidR="00544B83" w:rsidRPr="00544B83" w:rsidRDefault="00CC18C6" w:rsidP="00544B83">
      <w:pPr>
        <w:keepNext/>
        <w:keepLines/>
        <w:spacing w:before="240" w:after="0"/>
        <w:jc w:val="both"/>
        <w:outlineLvl w:val="0"/>
        <w:rPr>
          <w:rFonts w:ascii="Calibri Light" w:eastAsia="Times New Roman" w:hAnsi="Calibri Light" w:cs="Times New Roman"/>
          <w:color w:val="2F5496"/>
          <w:kern w:val="2"/>
          <w:sz w:val="32"/>
          <w:szCs w:val="32"/>
          <w14:ligatures w14:val="standardContextual"/>
        </w:rPr>
      </w:pPr>
      <w:r>
        <w:rPr>
          <w:rFonts w:ascii="Calibri Light" w:eastAsia="Times New Roman" w:hAnsi="Calibri Light" w:cs="Times New Roman"/>
          <w:color w:val="2F5496"/>
          <w:kern w:val="2"/>
          <w:sz w:val="32"/>
          <w:szCs w:val="32"/>
          <w14:ligatures w14:val="standardContextual"/>
        </w:rPr>
        <w:t>1. A résztvevő fél</w:t>
      </w:r>
    </w:p>
    <w:p w:rsidR="00544B83" w:rsidRPr="00544B83" w:rsidRDefault="00544B83" w:rsidP="00544B83">
      <w:pPr>
        <w:keepNext/>
        <w:keepLines/>
        <w:spacing w:before="40" w:after="0"/>
        <w:jc w:val="both"/>
        <w:outlineLvl w:val="1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 Light" w:eastAsia="Times New Roman" w:hAnsi="Calibri Light" w:cs="Times New Roman"/>
          <w:color w:val="2F5496"/>
          <w:kern w:val="2"/>
          <w:sz w:val="26"/>
          <w:szCs w:val="26"/>
          <w14:ligatures w14:val="standardContextual"/>
        </w:rPr>
        <w:t>1.1</w:t>
      </w:r>
      <w:r w:rsidR="00CC18C6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</w:t>
      </w:r>
      <w:r w:rsidRPr="00544B83">
        <w:rPr>
          <w:rFonts w:ascii="Calibri Light" w:eastAsia="Times New Roman" w:hAnsi="Calibri Light" w:cs="Times New Roman"/>
          <w:color w:val="2F5496"/>
          <w:kern w:val="2"/>
          <w:sz w:val="26"/>
          <w:szCs w:val="26"/>
          <w14:ligatures w14:val="standardContextual"/>
        </w:rPr>
        <w:t>A Programban résztvevők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A Programban résztvevőnek minősül minden olyan minden olyan cselekvőképes, magyarországi lakcímmel rendelkező személy, aki 18. életévét betöltötte és a jelen Szabályzatban írtaknak megfelelően részt vesz a 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Perlátor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Programban.</w:t>
      </w:r>
    </w:p>
    <w:p w:rsidR="00544B83" w:rsidRPr="00544B83" w:rsidRDefault="00544B83" w:rsidP="00544B83">
      <w:pPr>
        <w:keepNext/>
        <w:keepLines/>
        <w:spacing w:before="240" w:after="0"/>
        <w:jc w:val="both"/>
        <w:outlineLvl w:val="0"/>
        <w:rPr>
          <w:rFonts w:ascii="Calibri Light" w:eastAsia="Times New Roman" w:hAnsi="Calibri Light" w:cs="Times New Roman"/>
          <w:color w:val="2F5496"/>
          <w:kern w:val="2"/>
          <w:sz w:val="32"/>
          <w:szCs w:val="32"/>
          <w14:ligatures w14:val="standardContextual"/>
        </w:rPr>
      </w:pPr>
      <w:r w:rsidRPr="00544B83">
        <w:rPr>
          <w:rFonts w:ascii="Calibri Light" w:eastAsia="Times New Roman" w:hAnsi="Calibri Light" w:cs="Times New Roman"/>
          <w:color w:val="2F5496"/>
          <w:kern w:val="2"/>
          <w:sz w:val="32"/>
          <w:szCs w:val="32"/>
          <w14:ligatures w14:val="standardContextual"/>
        </w:rPr>
        <w:t>2. Irányadó jogszabályok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– a Magyar Energetikai és Közmű-szabályozási Hivatalról szóló 2013. évi XXII. törvény (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Mekh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tv.)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– az energiahatékonyságról szóló 2015. évi LVII. törvény (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Ehat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. tv.)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– a fogyasztóvédelemről szóló 1997. évi CLV. törvény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– a 2013. évi V. törvény a Polgári Törvénykönyvről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– a 45/2014. (II. 26.) Korm. rendelet a fogyasztó és a vállalkozás közötti szerződések részletes szabályairól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– 122/2015. (V. 26.) Korm. rendelet az energiahatékonyságról szóló törvény végrehajtásáról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– 17/2020. (XII. 21.) MEKH rendelet a végfelhasználási energia</w:t>
      </w:r>
      <w:r w:rsidR="00CC18C6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</w:t>
      </w: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megtakarítással kapcsolatos adatszolgáltatásról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– az Európai Parlament és a Tanács 2012/27/EU irányelve (2012. október 25.) az energiahatékonyságról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– az Európai Parlament és a Tanács 2009/125/EK irányelve az energiával kapcsolatos termékek környezettudatos tervezésére vonatkozó követelmények megállapítási kereteinek létrehozásáról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– az Európai Parlament és a Tanács 2012/27/EU irányelve (2012. október 25.) az energiahatékonyságról, a 2009/125/EK és a 2010/30/EU irányelv módosításáról, valamint a 2004/8/EK és a 2006/32/EK irányelv hatályon kívül helyezéséről</w:t>
      </w:r>
    </w:p>
    <w:p w:rsidR="00544B83" w:rsidRPr="00544B83" w:rsidRDefault="00544B83" w:rsidP="00544B83">
      <w:pPr>
        <w:keepNext/>
        <w:keepLines/>
        <w:spacing w:before="240" w:after="0"/>
        <w:jc w:val="both"/>
        <w:outlineLvl w:val="0"/>
        <w:rPr>
          <w:rFonts w:ascii="Calibri Light" w:eastAsia="Times New Roman" w:hAnsi="Calibri Light" w:cs="Times New Roman"/>
          <w:color w:val="2F5496"/>
          <w:kern w:val="2"/>
          <w:sz w:val="32"/>
          <w:szCs w:val="32"/>
          <w14:ligatures w14:val="standardContextual"/>
        </w:rPr>
      </w:pPr>
      <w:r w:rsidRPr="00544B83">
        <w:rPr>
          <w:rFonts w:ascii="Calibri Light" w:eastAsia="Times New Roman" w:hAnsi="Calibri Light" w:cs="Times New Roman"/>
          <w:color w:val="2F5496"/>
          <w:kern w:val="2"/>
          <w:sz w:val="32"/>
          <w:szCs w:val="32"/>
          <w14:ligatures w14:val="standardContextual"/>
        </w:rPr>
        <w:t>3. Fogalmi meghatározások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:u w:val="single"/>
          <w14:ligatures w14:val="standardContextual"/>
        </w:rPr>
        <w:t>Igénylő</w:t>
      </w: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: minden olyan cselekvőképes, magyarországi lakcímmel rendelkező személy, aki 18. életévét betöltötte és a jelen Szabályzatban írtaknak megfelelően egyértelműen kifejezte szándékát a 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Perlátor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Programban való részvétel igényéről.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:u w:val="single"/>
          <w14:ligatures w14:val="standardContextual"/>
        </w:rPr>
        <w:t>Felhasználó</w:t>
      </w: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: minden olyan cselekvőképes, magyarországi lakcímmel rendelkező személy, aki 18. életévét betöltötte és a jelen Szabályzatban írtaknak megfelelően részt vesz a 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Perlátor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Programban.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:u w:val="single"/>
          <w14:ligatures w14:val="standardContextual"/>
        </w:rPr>
        <w:lastRenderedPageBreak/>
        <w:t>Nyilatkozat</w:t>
      </w: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: Nyomtatott, egy</w:t>
      </w:r>
      <w:r w:rsidR="00CC18C6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edi sorszámmal ellátott </w:t>
      </w:r>
      <w:proofErr w:type="gramStart"/>
      <w:r w:rsidR="00CC18C6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adatlap</w:t>
      </w:r>
      <w:proofErr w:type="gramEnd"/>
      <w:r w:rsidR="00CC18C6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</w:t>
      </w: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amelynek kitöltésével a Felhasználó a Programban való részvételi szándékát jelzi.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:u w:val="single"/>
          <w14:ligatures w14:val="standardContextual"/>
        </w:rPr>
        <w:t>Víztakarékossági egységcsomag</w:t>
      </w:r>
      <w:r w:rsidR="00CC18C6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: Óbuda-Békásmegyer Önkormányzat ingyenes</w:t>
      </w: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víztakarékosságot elősegítő egységcsomagot biztosít az igénylők részére, amelyek különféle vízcsapokba, illetve a zuhanyba szerelhető áramlásszabályzókat, a beszereléshez szükséges eszközt, valamint a beszerelést segítő útmutatót tartalmaz.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:u w:val="single"/>
          <w14:ligatures w14:val="standardContextual"/>
        </w:rPr>
        <w:t>Energia</w:t>
      </w:r>
      <w:r w:rsidR="00CC18C6">
        <w:rPr>
          <w:rFonts w:ascii="Calibri" w:eastAsia="Calibri" w:hAnsi="Calibri" w:cs="Times New Roman"/>
          <w:kern w:val="2"/>
          <w:sz w:val="24"/>
          <w:szCs w:val="24"/>
          <w:u w:val="single"/>
          <w14:ligatures w14:val="standardContextual"/>
        </w:rPr>
        <w:t xml:space="preserve"> </w:t>
      </w:r>
      <w:r w:rsidRPr="00544B83">
        <w:rPr>
          <w:rFonts w:ascii="Calibri" w:eastAsia="Calibri" w:hAnsi="Calibri" w:cs="Times New Roman"/>
          <w:kern w:val="2"/>
          <w:sz w:val="24"/>
          <w:szCs w:val="24"/>
          <w:u w:val="single"/>
          <w14:ligatures w14:val="standardContextual"/>
        </w:rPr>
        <w:t>megtakarítás</w:t>
      </w: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: Olyan intézkedéseket vagy folyamatokat jelent, amelyek célja az energiafogyasztás csökkentése. Az energia</w:t>
      </w:r>
      <w:r w:rsidR="00CC18C6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</w:t>
      </w: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megtakarítás különböző területeken valósulhat meg, például háztartási, ipari, vagy üzleti környezetben. Ilyen intézkedések lehetnek például hatékonyabb technológiák alkalmazása, vagy szemléletbeli változások, mint például a fogyasztói szokások tudatosítása és a felesleges energiafelhasználás minimalizálása.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:u w:val="single"/>
          <w14:ligatures w14:val="standardContextual"/>
        </w:rPr>
        <w:t>Hitelesített energia</w:t>
      </w:r>
      <w:r w:rsidR="00CC18C6">
        <w:rPr>
          <w:rFonts w:ascii="Calibri" w:eastAsia="Calibri" w:hAnsi="Calibri" w:cs="Times New Roman"/>
          <w:kern w:val="2"/>
          <w:sz w:val="24"/>
          <w:szCs w:val="24"/>
          <w:u w:val="single"/>
          <w14:ligatures w14:val="standardContextual"/>
        </w:rPr>
        <w:t xml:space="preserve"> </w:t>
      </w:r>
      <w:r w:rsidRPr="00544B83">
        <w:rPr>
          <w:rFonts w:ascii="Calibri" w:eastAsia="Calibri" w:hAnsi="Calibri" w:cs="Times New Roman"/>
          <w:kern w:val="2"/>
          <w:sz w:val="24"/>
          <w:szCs w:val="24"/>
          <w:u w:val="single"/>
          <w14:ligatures w14:val="standardContextual"/>
        </w:rPr>
        <w:t>megtakarítás</w:t>
      </w: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: Energetikai 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auditáló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szervezet által az 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EKR-ben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való elszámolás céljából hitelesített energiahatékonyság-javító intézkedésekből származó energia</w:t>
      </w:r>
      <w:r w:rsidR="00CC18C6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</w:t>
      </w: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megtakarítás.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:u w:val="single"/>
          <w14:ligatures w14:val="standardContextual"/>
        </w:rPr>
        <w:t xml:space="preserve">Energetikai 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:u w:val="single"/>
          <w14:ligatures w14:val="standardContextual"/>
        </w:rPr>
        <w:t>auditáló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:u w:val="single"/>
          <w14:ligatures w14:val="standardContextual"/>
        </w:rPr>
        <w:t xml:space="preserve"> szervezet/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:u w:val="single"/>
          <w14:ligatures w14:val="standardContextual"/>
        </w:rPr>
        <w:t>Auditor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: Olyan szervezet, amely az épületek, rendszerek vagy folyamatok energiafelhasználásának elemzését és értékelését végzi el annak érdekében, hogy azonosítsák a potenciális energiahatékonysági javításokat és megtakarítási lehetőségeket, mindezt számokban is kifejezve.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:u w:val="single"/>
          <w14:ligatures w14:val="standardContextual"/>
        </w:rPr>
        <w:t>Addicionalitás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: Olyan intézkedés, forrás vagy projekt</w:t>
      </w:r>
      <w:r w:rsidR="009B261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</w:t>
      </w: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megközelítés, ami hozzáadott értéket vagy valamilyen jelentős pozitív változást keletkeztet, amely nélkül az adott intézkedés vagy forrás nem jöhetett volna létre.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:u w:val="single"/>
          <w14:ligatures w14:val="standardContextual"/>
        </w:rPr>
        <w:t>MEKH</w:t>
      </w: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: Magyar Energetikai és Közmű-szabályozási Hivatal</w:t>
      </w:r>
    </w:p>
    <w:p w:rsidR="00544B83" w:rsidRPr="00544B83" w:rsidRDefault="00544B83" w:rsidP="00544B83">
      <w:pPr>
        <w:keepNext/>
        <w:keepLines/>
        <w:spacing w:before="240" w:after="0"/>
        <w:jc w:val="both"/>
        <w:outlineLvl w:val="0"/>
        <w:rPr>
          <w:rFonts w:ascii="Calibri Light" w:eastAsia="Times New Roman" w:hAnsi="Calibri Light" w:cs="Times New Roman"/>
          <w:color w:val="2F5496"/>
          <w:kern w:val="2"/>
          <w:sz w:val="32"/>
          <w:szCs w:val="32"/>
          <w14:ligatures w14:val="standardContextual"/>
        </w:rPr>
      </w:pPr>
      <w:r w:rsidRPr="00544B83">
        <w:rPr>
          <w:rFonts w:ascii="Calibri Light" w:eastAsia="Times New Roman" w:hAnsi="Calibri Light" w:cs="Times New Roman"/>
          <w:color w:val="2F5496"/>
          <w:kern w:val="2"/>
          <w:sz w:val="32"/>
          <w:szCs w:val="32"/>
          <w14:ligatures w14:val="standardContextual"/>
        </w:rPr>
        <w:t>4. A Program leírása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A Magyarország a Nemzeti Energia- és Klímatervben kitűzött céljához kapcsolódóan </w:t>
      </w:r>
      <w:r w:rsidR="009B261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Óbuda-Békásmegyer Önkormányzata </w:t>
      </w: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hozzá kíván járulni a lakossági végsőenergia-felhasználás csökkentéséhez.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A 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Perlátor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Program a fent említett célkitűzéssel összhangban olyan víz- és energiahatékonyságot célzó intézkedés, amelyekből származó, az 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Auditor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által hitelesített energia</w:t>
      </w:r>
      <w:r w:rsidR="00A21FED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</w:t>
      </w: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megtakarítás elszámolható a MEKH (Magyar Energetikai és Közmű-szabályozási Hivatal) erre kialakított rendszerében (EKR).</w:t>
      </w:r>
    </w:p>
    <w:p w:rsidR="00544B83" w:rsidRPr="00544B83" w:rsidRDefault="00A21FED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A </w:t>
      </w:r>
      <w:proofErr w:type="spellStart"/>
      <w:r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perlátort</w:t>
      </w:r>
      <w:proofErr w:type="spellEnd"/>
      <w:r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szállító cég </w:t>
      </w:r>
      <w:r w:rsidR="00544B83"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a Nemzeti Energia- és Klímatervben kitűzött célhoz való hozzájárulás érdekében vállalja, hogy térítésmentesen szolgáltat egységcsomagokat a lakossági, végső felhasználók részére, melyekkel víz- és energia</w:t>
      </w:r>
      <w:r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</w:t>
      </w:r>
      <w:r w:rsidR="00544B83"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megtakarítás érhető el. Az ingyenes csomag átvételére a Felhasználó abban az esetben válik jogosulttá, amennyiben kifejezi egyértelmű szándékát a Programban való részvétel igényéről, elfogadja az Általános Szerződési Feltételeket és a Részvételi Szabályzatot, továbbá kitöl</w:t>
      </w:r>
      <w:r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ti a Nyilatkozatot </w:t>
      </w:r>
      <w:r w:rsidR="00544B83"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papír alapon.</w:t>
      </w:r>
    </w:p>
    <w:p w:rsidR="00544B83" w:rsidRPr="00544B83" w:rsidRDefault="00544B83" w:rsidP="00544B83">
      <w:pPr>
        <w:keepNext/>
        <w:keepLines/>
        <w:spacing w:before="240" w:after="0"/>
        <w:jc w:val="both"/>
        <w:outlineLvl w:val="0"/>
        <w:rPr>
          <w:rFonts w:ascii="Calibri Light" w:eastAsia="Times New Roman" w:hAnsi="Calibri Light" w:cs="Times New Roman"/>
          <w:color w:val="2F5496"/>
          <w:kern w:val="2"/>
          <w:sz w:val="32"/>
          <w:szCs w:val="32"/>
          <w14:ligatures w14:val="standardContextual"/>
        </w:rPr>
      </w:pPr>
      <w:r w:rsidRPr="00544B83">
        <w:rPr>
          <w:rFonts w:ascii="Calibri Light" w:eastAsia="Times New Roman" w:hAnsi="Calibri Light" w:cs="Times New Roman"/>
          <w:color w:val="2F5496"/>
          <w:kern w:val="2"/>
          <w:sz w:val="32"/>
          <w:szCs w:val="32"/>
          <w14:ligatures w14:val="standardContextual"/>
        </w:rPr>
        <w:lastRenderedPageBreak/>
        <w:t>5. A Programban való részvételre jogosultak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A Programban részt vehet minden cselekvőképes, magyarországi lakcímmel rendelkező 18. életévét betöltött személy, aki hiánytalanul és a valóságnak megfelelően kitölti a Nyilatkozatot, elfogadja a Részvételi szabályzatot és az Adatkezelési szabályzatot valamely átvételi </w:t>
      </w:r>
      <w:r w:rsidR="0093207B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ponton.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További feltétel, hogy az Programban résztvevő teljesíti a részvétel feltételeit.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Az a Felhasználó, aki a jelen Részvételi Szabályzat szerinti Programban részt vesz, úgy tekintendő, hogy a részvétel tényével – minden további nyilatkozat elvárása nélkül – magára nézve kötelezőnek elfogadta a jelen Részvételi Szabályzatban foglalt valamennyi feltételt.</w:t>
      </w:r>
    </w:p>
    <w:p w:rsidR="00544B83" w:rsidRPr="00544B83" w:rsidRDefault="00544B83" w:rsidP="00544B83">
      <w:pPr>
        <w:keepNext/>
        <w:keepLines/>
        <w:spacing w:before="240" w:after="0"/>
        <w:jc w:val="both"/>
        <w:outlineLvl w:val="0"/>
        <w:rPr>
          <w:rFonts w:ascii="Calibri Light" w:eastAsia="Times New Roman" w:hAnsi="Calibri Light" w:cs="Times New Roman"/>
          <w:color w:val="2F5496"/>
          <w:kern w:val="2"/>
          <w:sz w:val="32"/>
          <w:szCs w:val="32"/>
          <w14:ligatures w14:val="standardContextual"/>
        </w:rPr>
      </w:pPr>
      <w:r w:rsidRPr="00544B83">
        <w:rPr>
          <w:rFonts w:ascii="Calibri Light" w:eastAsia="Times New Roman" w:hAnsi="Calibri Light" w:cs="Times New Roman"/>
          <w:color w:val="2F5496"/>
          <w:kern w:val="2"/>
          <w:sz w:val="32"/>
          <w:szCs w:val="32"/>
          <w14:ligatures w14:val="standardContextual"/>
        </w:rPr>
        <w:t>6. A Program keretében nyújtott egységcsomagok</w:t>
      </w:r>
    </w:p>
    <w:p w:rsidR="00544B83" w:rsidRPr="00544B83" w:rsidRDefault="00682069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A</w:t>
      </w:r>
      <w:r w:rsidR="00544B83"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Program keretében víztakarékosságot elősegítő egységcsomagot biztosít az Felhasználók részére, amely különféle vízcsapokba, illetve a zuhanyba szerelhető áramlásszabályzókat, a beszereléshez szükséges eszközt, valamint a beszerelést segítő útmutatót tartalmaz.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:u w:val="single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:u w:val="single"/>
          <w14:ligatures w14:val="standardContextual"/>
        </w:rPr>
        <w:t>Az egységcsomagok tartalma: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– 3 db csapba szerelhető 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perlátor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(4 l/perc névleges teljesítmény)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– 3 db tömítőgyűrű a csapba szerelhető 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perlátorhoz</w:t>
      </w:r>
      <w:proofErr w:type="spellEnd"/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– 2 db zuhanyfej áramlásszabályozó (6 l/perc névleges teljesítmény)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– 1 db 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perlátor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kulcs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– 1 db használati utasítás</w:t>
      </w:r>
    </w:p>
    <w:p w:rsidR="00544B83" w:rsidRPr="00544B83" w:rsidRDefault="00544B83" w:rsidP="00544B83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F5496"/>
          <w:kern w:val="2"/>
          <w:sz w:val="32"/>
          <w:szCs w:val="32"/>
          <w14:ligatures w14:val="standardContextual"/>
        </w:rPr>
      </w:pPr>
      <w:r w:rsidRPr="00544B83">
        <w:rPr>
          <w:rFonts w:ascii="Calibri Light" w:eastAsia="Times New Roman" w:hAnsi="Calibri Light" w:cs="Times New Roman"/>
          <w:color w:val="2F5496"/>
          <w:kern w:val="2"/>
          <w:sz w:val="32"/>
          <w:szCs w:val="32"/>
          <w14:ligatures w14:val="standardContextual"/>
        </w:rPr>
        <w:t>7. A részvétel feltételei</w:t>
      </w:r>
    </w:p>
    <w:p w:rsidR="00544B83" w:rsidRPr="00544B83" w:rsidRDefault="00544B83" w:rsidP="00544B83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color w:val="2F5496"/>
          <w:kern w:val="2"/>
          <w:sz w:val="26"/>
          <w:szCs w:val="26"/>
          <w14:ligatures w14:val="standardContextual"/>
        </w:rPr>
      </w:pPr>
      <w:r w:rsidRPr="00544B83">
        <w:rPr>
          <w:rFonts w:ascii="Calibri Light" w:eastAsia="Times New Roman" w:hAnsi="Calibri Light" w:cs="Times New Roman"/>
          <w:color w:val="2F5496"/>
          <w:kern w:val="2"/>
          <w:sz w:val="26"/>
          <w:szCs w:val="26"/>
          <w14:ligatures w14:val="standardContextual"/>
        </w:rPr>
        <w:t>7.1. Az a Felhasználó vehet részt a Programban és jogosult az ingyenes egységcsomagra, aki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– cselekvőképes, magyarországi lakcímmel rendelkezik és 18. életévét betöltötte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– kifejezi egyértelmű szándékát a Programban való részvétel igényéről pl.: kitölti a Nyilatkozatot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– hiánytalanul és a valóságnak megfelelően kitölti a Nyilatko</w:t>
      </w:r>
      <w:r w:rsidR="00682069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zatot valamely átvételi ponton.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– tudomásul veszi, hogy a 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Perlátor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meghibásodásáért, valamint a szakszerűtlen beszerelésből és a nem rendeltetésszerű</w:t>
      </w:r>
      <w:r w:rsidR="00682069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használatból eredő károkért a szállító céget </w:t>
      </w: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semmiféle felelősség nem terheli</w:t>
      </w:r>
      <w:r w:rsidR="00682069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.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– egyetért azzal, hogy az </w:t>
      </w:r>
      <w:r w:rsidR="00682069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Önkormányzat </w:t>
      </w: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ösztönzése és támogatása nélkül a 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perlátorokat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nem szerelte volna fel a lakóingatlanban, ezért az intézkedéssel elérhető energia</w:t>
      </w:r>
      <w:r w:rsidR="00682069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</w:t>
      </w: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megtakarítás az </w:t>
      </w:r>
      <w:r w:rsidR="00682069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önkormányzat </w:t>
      </w: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közreműködése nélkül nem jönne létre</w:t>
      </w:r>
      <w:r w:rsidR="00682069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.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– tudomásul veszi, hogy a MEKH, mint ellenőrző szerv jogosult a felhasználási helyen a jogszerű felhasználást és a Részvételi szabályzatban vállaltak betartását ellenőrizni</w:t>
      </w:r>
      <w:r w:rsidR="00682069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.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– megismerte és elfogadja az Adatkezelési Szabályzatot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lastRenderedPageBreak/>
        <w:t>– megismerte és elfogadja a jelen Részvételi Szabályzatot és teljesíti a részvétel feltételeit.</w:t>
      </w:r>
    </w:p>
    <w:p w:rsidR="00544B83" w:rsidRPr="00544B83" w:rsidRDefault="00544B83" w:rsidP="00544B83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color w:val="2F5496"/>
          <w:kern w:val="2"/>
          <w:sz w:val="26"/>
          <w:szCs w:val="26"/>
          <w14:ligatures w14:val="standardContextual"/>
        </w:rPr>
      </w:pPr>
      <w:r w:rsidRPr="00544B83">
        <w:rPr>
          <w:rFonts w:ascii="Calibri Light" w:eastAsia="Times New Roman" w:hAnsi="Calibri Light" w:cs="Times New Roman"/>
          <w:color w:val="2F5496"/>
          <w:kern w:val="2"/>
          <w:sz w:val="26"/>
          <w:szCs w:val="26"/>
          <w14:ligatures w14:val="standardContextual"/>
        </w:rPr>
        <w:t>7.2. A Felhasználó kötelezettségei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A Felhasználó vállalja, hogy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– az igénylés előtt tájékozódik arról, hogy az általa használt meleg</w:t>
      </w:r>
      <w:r w:rsidR="00682069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</w:t>
      </w: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víz előállítási rendszerrel együtt alkalmazhatóak-e a 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perlátorok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/áramlásszabályozók – különösképpen ideértve az M22, M24 és az M28-tól eltérő gyűrűvégződéssel rendelkező csaptelepeket, valamint az átfolyós vízmelegítőket- és ennek függvényében vesz részt a programban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– a csomagban található 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perlátorokat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/áramlásszabályozókat a beszerelési helyen található csaptelepekre, és zuhanyzófejekre a csomag átvételét követő 7 napon belül felszereli</w:t>
      </w:r>
      <w:r w:rsidR="00682069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.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– a 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perlátorokat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/áramlásszabályozókat csak olyan 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melegvíz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előállítási rendszerrel együtt működteti, amelynél kizárható a 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perlátor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/áramlásszabályozó miatti meghibásodás</w:t>
      </w:r>
      <w:r w:rsidR="00682069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.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– a beszerelési hely adottságival összhangban az eszközök megfelelő működéshez szükséges karbantartásokat elvégzi pl.: rendszeres 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vízkőtelenítés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, a vízszűrő tisztítása, stb.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– a csomagban található </w:t>
      </w:r>
      <w:proofErr w:type="spellStart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perlátorokat</w:t>
      </w:r>
      <w:proofErr w:type="spellEnd"/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/áramlásszabályozókat a beszerelési helyen, a beszereléstől számított 5 évig használja.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>A Részvételi szabályzat és/vagy az Adatkezelési szabályzat elfogadásának hiánya esetén a Nyilatkozatot kitöltő, beküldő személy nem vehet részt a Programban.</w:t>
      </w:r>
    </w:p>
    <w:p w:rsidR="00544B83" w:rsidRPr="00544B83" w:rsidRDefault="00544B83" w:rsidP="00544B83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F5496"/>
          <w:kern w:val="2"/>
          <w:sz w:val="32"/>
          <w:szCs w:val="32"/>
          <w14:ligatures w14:val="standardContextual"/>
        </w:rPr>
      </w:pPr>
      <w:r w:rsidRPr="00544B83">
        <w:rPr>
          <w:rFonts w:ascii="Calibri Light" w:eastAsia="Times New Roman" w:hAnsi="Calibri Light" w:cs="Times New Roman"/>
          <w:color w:val="2F5496"/>
          <w:kern w:val="2"/>
          <w:sz w:val="32"/>
          <w:szCs w:val="32"/>
          <w14:ligatures w14:val="standardContextual"/>
        </w:rPr>
        <w:t>8. Jogfenntartás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A Program bármikor befejezhető vis maior (így különösen háború, földrengés, katasztrófa, járvány, sztrájk vagy hasonló váratlan esemény) bekövetkezésekor, ideértve azt az esetet, amikor a Szervező rajta kívülálló okok miatt képtelenek gondoskodni a Program megfelelő lebonyolításáról.</w:t>
      </w:r>
    </w:p>
    <w:p w:rsidR="00544B83" w:rsidRPr="00544B83" w:rsidRDefault="00682069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A szállító cég </w:t>
      </w:r>
      <w:r w:rsidR="00544B83"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a Program igénybevételéből vagy a Részvételi Szabályzat módosításából, a Program felfüggesztéséből, megtiltásából, szüneteltetéséből vagy megszüntetéséből ere</w:t>
      </w:r>
      <w:r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dően felelősség nem terheli, </w:t>
      </w:r>
      <w:r w:rsidR="00544B83"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kizár minden, a fentiekből eredő közvetlen vagy közvetett kárral és költséggel kapcsolatos kártérítést és kártalanítást, amelyet a Felhasználó a Programban való részvétellel kifejezetten tudomásul vesz.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Amennyiben a Program során olyan technikai vagy biztonsági probléma merül fel, amely a Program jogszerű lebonyolítását lehetetlenné teszi vagy veszélyezteti, </w:t>
      </w:r>
      <w:r w:rsidR="00682069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a szállító cég </w:t>
      </w: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fenntartja a jogot, hogy a Programot szüneteltesse vagy megszüntesse.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Ezekről </w:t>
      </w:r>
      <w:r w:rsidR="00682069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az esetekről, körülményekről a szállító cég 24 órával előre tájékoztatást ad.</w:t>
      </w:r>
    </w:p>
    <w:p w:rsidR="00544B83" w:rsidRPr="00544B83" w:rsidRDefault="006C1EE8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A szállító cég a</w:t>
      </w:r>
      <w:r w:rsidR="00544B83"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mennyiben tisztességtelen részvételt vagy visszaélést tapasztal a Program során, úgy a visszaélést elkövető Felhasználót kizárja a Programból.</w:t>
      </w:r>
    </w:p>
    <w:p w:rsidR="00544B83" w:rsidRPr="00544B83" w:rsidRDefault="00544B83" w:rsidP="00544B83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F5496"/>
          <w:kern w:val="2"/>
          <w:sz w:val="32"/>
          <w:szCs w:val="32"/>
          <w14:ligatures w14:val="standardContextual"/>
        </w:rPr>
      </w:pPr>
      <w:r w:rsidRPr="00544B83">
        <w:rPr>
          <w:rFonts w:ascii="Calibri Light" w:eastAsia="Times New Roman" w:hAnsi="Calibri Light" w:cs="Times New Roman"/>
          <w:color w:val="2F5496"/>
          <w:kern w:val="2"/>
          <w:sz w:val="32"/>
          <w:szCs w:val="32"/>
          <w14:ligatures w14:val="standardContextual"/>
        </w:rPr>
        <w:t>9. Egyéb rendelkezések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A Program keretében igényelt egységcsomag tartalma másra át nem ruházható, kereskedelmi forgalomba nem hozható, készpénzre, illetve egyéb kedvezményre nem váltható.</w:t>
      </w:r>
    </w:p>
    <w:p w:rsidR="00544B83" w:rsidRPr="00544B83" w:rsidRDefault="00544B83" w:rsidP="00544B83">
      <w:pPr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lastRenderedPageBreak/>
        <w:t>Jelen Részvételi Szabályzatra a magyar jogszabályok az irányadók és a Programban való részvétellel kapcsolatosan kialakuló jogviták kizárólagosan a magyar bíróságo</w:t>
      </w:r>
      <w:r w:rsidR="006C1EE8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k joghatósága alá tartoznak. A szállító cég </w:t>
      </w: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fenntartja a jogot, hogy a Részvételi Szabályzatot indokolt esetben bármikor megváltoztath</w:t>
      </w:r>
      <w:r w:rsidR="006C1EE8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assák a résztvevők megfelelő </w:t>
      </w:r>
      <w:r w:rsidRPr="00544B8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tájékoztatása mellett.</w:t>
      </w:r>
      <w:bookmarkStart w:id="0" w:name="_GoBack"/>
      <w:bookmarkEnd w:id="0"/>
    </w:p>
    <w:p w:rsidR="00327960" w:rsidRDefault="00494979"/>
    <w:sectPr w:rsidR="0032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83"/>
    <w:rsid w:val="00544B83"/>
    <w:rsid w:val="00682069"/>
    <w:rsid w:val="006C1EE8"/>
    <w:rsid w:val="0093207B"/>
    <w:rsid w:val="009B261A"/>
    <w:rsid w:val="009F4776"/>
    <w:rsid w:val="00A21FED"/>
    <w:rsid w:val="00CC18C6"/>
    <w:rsid w:val="00E0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4AFE8-0E1F-49D7-AF27-4170C044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1277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Burján Ferenc</dc:creator>
  <cp:keywords/>
  <dc:description/>
  <cp:lastModifiedBy>Burján Ferenc</cp:lastModifiedBy>
  <cp:revision>7</cp:revision>
  <dcterms:created xsi:type="dcterms:W3CDTF">2024-04-15T06:40:00Z</dcterms:created>
  <dcterms:modified xsi:type="dcterms:W3CDTF">2024-04-15T07:03:00Z</dcterms:modified>
</cp:coreProperties>
</file>